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BE81" w14:textId="77777777" w:rsidR="00C77FEF" w:rsidRDefault="00C77FEF" w:rsidP="00C77FEF">
      <w:pPr>
        <w:spacing w:line="360" w:lineRule="auto"/>
        <w:jc w:val="center"/>
        <w:rPr>
          <w:b/>
        </w:rPr>
      </w:pPr>
      <w:r w:rsidRPr="00DA29B5">
        <w:rPr>
          <w:b/>
        </w:rPr>
        <w:t>ANEXO I</w:t>
      </w:r>
    </w:p>
    <w:p w14:paraId="408212E9" w14:textId="77777777" w:rsidR="00C77FEF" w:rsidRPr="00DA29B5" w:rsidRDefault="00C77FEF" w:rsidP="00C77FEF">
      <w:pPr>
        <w:spacing w:line="360" w:lineRule="auto"/>
        <w:jc w:val="center"/>
        <w:rPr>
          <w:b/>
        </w:rPr>
      </w:pPr>
    </w:p>
    <w:tbl>
      <w:tblPr>
        <w:tblW w:w="892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75"/>
        <w:gridCol w:w="4137"/>
      </w:tblGrid>
      <w:tr w:rsidR="00C77FEF" w:rsidRPr="009653A4" w14:paraId="50FA563C" w14:textId="77777777" w:rsidTr="0057530A">
        <w:trPr>
          <w:trHeight w:val="288"/>
          <w:jc w:val="right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963" w14:textId="77777777" w:rsidR="00C77FEF" w:rsidRPr="009653A4" w:rsidRDefault="00C77FEF" w:rsidP="0057530A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89942862"/>
            <w:r w:rsidRPr="009653A4">
              <w:rPr>
                <w:rFonts w:ascii="Calibri" w:hAnsi="Calibri" w:cs="Calibri"/>
                <w:b/>
                <w:bCs/>
                <w:color w:val="000000"/>
              </w:rPr>
              <w:t>DENOMINAÇÃO DA FUNÇÃO DE CONFIANÇA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584" w14:textId="77777777" w:rsidR="00C77FEF" w:rsidRPr="009653A4" w:rsidRDefault="00C77FEF" w:rsidP="005753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653A4">
              <w:rPr>
                <w:rFonts w:ascii="Calibri" w:hAnsi="Calibri" w:cs="Calibri"/>
                <w:b/>
                <w:bCs/>
                <w:color w:val="000000"/>
              </w:rPr>
              <w:t>QTD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7AB" w14:textId="77777777" w:rsidR="00C77FEF" w:rsidRPr="009653A4" w:rsidRDefault="00C77FEF" w:rsidP="005753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653A4">
              <w:rPr>
                <w:rFonts w:ascii="Calibri" w:hAnsi="Calibri" w:cs="Calibri"/>
                <w:b/>
                <w:bCs/>
                <w:color w:val="000000"/>
              </w:rPr>
              <w:t>BASE DE CÁLCULO DA DIFERENÇA SALARIAL</w:t>
            </w:r>
          </w:p>
        </w:tc>
      </w:tr>
      <w:tr w:rsidR="00C77FEF" w:rsidRPr="006C3273" w14:paraId="0F50F2CF" w14:textId="77777777" w:rsidTr="0057530A">
        <w:trPr>
          <w:trHeight w:val="288"/>
          <w:jc w:val="right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0D8" w14:textId="77777777" w:rsidR="00C77FEF" w:rsidRPr="006C3273" w:rsidRDefault="00C77FEF" w:rsidP="00575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Gestor Autárquico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82A" w14:textId="77777777" w:rsidR="00C77FEF" w:rsidRPr="006C3273" w:rsidRDefault="00C77FEF" w:rsidP="005753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7DA" w14:textId="77777777" w:rsidR="00C77FEF" w:rsidRPr="006C3273" w:rsidRDefault="00C77FEF" w:rsidP="0057530A">
            <w:pPr>
              <w:rPr>
                <w:rFonts w:ascii="Calibri" w:hAnsi="Calibri" w:cs="Calibri"/>
                <w:color w:val="000000"/>
              </w:rPr>
            </w:pPr>
            <w:r w:rsidRPr="006C3273">
              <w:rPr>
                <w:rFonts w:ascii="Calibri" w:hAnsi="Calibri" w:cs="Calibri"/>
                <w:color w:val="000000"/>
              </w:rPr>
              <w:t>R</w:t>
            </w:r>
            <w:proofErr w:type="gramStart"/>
            <w:r w:rsidRPr="006C3273">
              <w:rPr>
                <w:rFonts w:ascii="Calibri" w:hAnsi="Calibri" w:cs="Calibri"/>
                <w:color w:val="000000"/>
              </w:rPr>
              <w:t>$  5.500</w:t>
            </w:r>
            <w:proofErr w:type="gramEnd"/>
            <w:r w:rsidRPr="006C3273">
              <w:rPr>
                <w:rFonts w:ascii="Calibri" w:hAnsi="Calibri" w:cs="Calibri"/>
                <w:color w:val="000000"/>
              </w:rPr>
              <w:t xml:space="preserve">,00 </w:t>
            </w:r>
          </w:p>
        </w:tc>
      </w:tr>
      <w:tr w:rsidR="00C77FEF" w:rsidRPr="006C3273" w14:paraId="04DB05B4" w14:textId="77777777" w:rsidTr="0057530A">
        <w:trPr>
          <w:trHeight w:val="288"/>
          <w:jc w:val="right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B628" w14:textId="77777777" w:rsidR="00C77FEF" w:rsidRDefault="00C77FEF" w:rsidP="00575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Ouvidor Autárquico do SAMAE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F6E5" w14:textId="77777777" w:rsidR="00C77FEF" w:rsidRDefault="00C77FEF" w:rsidP="005753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8B48" w14:textId="77777777" w:rsidR="00C77FEF" w:rsidRPr="001A7D95" w:rsidRDefault="00C77FEF" w:rsidP="00575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proofErr w:type="gramStart"/>
            <w:r>
              <w:rPr>
                <w:rFonts w:ascii="Calibri" w:hAnsi="Calibri" w:cs="Calibri"/>
                <w:color w:val="000000"/>
              </w:rPr>
              <w:t>$  3.200</w:t>
            </w:r>
            <w:proofErr w:type="gramEnd"/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C77FEF" w:rsidRPr="006C3273" w14:paraId="6A07889A" w14:textId="77777777" w:rsidTr="0057530A">
        <w:trPr>
          <w:trHeight w:val="288"/>
          <w:jc w:val="right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74E0" w14:textId="77777777" w:rsidR="00C77FEF" w:rsidRDefault="00C77FEF" w:rsidP="00575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Controlador Interno Autárquico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8ED8" w14:textId="77777777" w:rsidR="00C77FEF" w:rsidRDefault="00C77FEF" w:rsidP="005753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AA34C" w14:textId="77777777" w:rsidR="00C77FEF" w:rsidRPr="006C3273" w:rsidRDefault="00C77FEF" w:rsidP="0057530A">
            <w:pPr>
              <w:rPr>
                <w:rFonts w:ascii="Calibri" w:hAnsi="Calibri" w:cs="Calibri"/>
                <w:color w:val="000000"/>
              </w:rPr>
            </w:pPr>
            <w:r w:rsidRPr="001A7D95">
              <w:rPr>
                <w:rFonts w:ascii="Calibri" w:hAnsi="Calibri" w:cs="Calibri"/>
                <w:color w:val="000000"/>
              </w:rPr>
              <w:t>R</w:t>
            </w:r>
            <w:proofErr w:type="gramStart"/>
            <w:r w:rsidRPr="001A7D95">
              <w:rPr>
                <w:rFonts w:ascii="Calibri" w:hAnsi="Calibri" w:cs="Calibri"/>
                <w:color w:val="000000"/>
              </w:rPr>
              <w:t>$  3.200</w:t>
            </w:r>
            <w:proofErr w:type="gramEnd"/>
            <w:r w:rsidRPr="001A7D95">
              <w:rPr>
                <w:rFonts w:ascii="Calibri" w:hAnsi="Calibri" w:cs="Calibri"/>
                <w:color w:val="000000"/>
              </w:rPr>
              <w:t xml:space="preserve">,00 </w:t>
            </w:r>
          </w:p>
        </w:tc>
      </w:tr>
      <w:bookmarkEnd w:id="0"/>
    </w:tbl>
    <w:p w14:paraId="3E106EA9" w14:textId="77777777" w:rsidR="00C77FEF" w:rsidRPr="00DA29B5" w:rsidRDefault="00C77FEF" w:rsidP="00C77FEF">
      <w:pPr>
        <w:spacing w:line="360" w:lineRule="auto"/>
        <w:jc w:val="center"/>
        <w:rPr>
          <w:b/>
        </w:rPr>
      </w:pPr>
    </w:p>
    <w:p w14:paraId="177226C2" w14:textId="77777777" w:rsidR="00C77FEF" w:rsidRPr="004C7678" w:rsidRDefault="00C77FEF" w:rsidP="00C77FEF">
      <w:pPr>
        <w:jc w:val="center"/>
        <w:rPr>
          <w:rFonts w:ascii="Bookman Old Style" w:hAnsi="Bookman Old Style"/>
          <w:b/>
        </w:rPr>
      </w:pPr>
    </w:p>
    <w:p w14:paraId="1145A065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3726F3D8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6C65854D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0DB7C107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D74EC4D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699A401B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D9A287E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7E105E0F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4F5620E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64BF8F9F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3F5AD1E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2FF1006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E166B88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D280079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72A6E10B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071460F4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33D83128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07E28E12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19710768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035E378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4E643F65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76E0E67F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CF78A0D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F77EE90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2707DBFC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738F2BEF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6956469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3C3A0243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18759052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712E544E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19652F39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9D14CFC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4D8350FD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41C6D3E6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03BBFE2B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E126267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0255FEC2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57E992D6" w14:textId="77777777" w:rsidR="00C77FEF" w:rsidRDefault="00C77FEF" w:rsidP="00C77FEF">
      <w:pPr>
        <w:spacing w:line="360" w:lineRule="auto"/>
        <w:jc w:val="center"/>
        <w:rPr>
          <w:b/>
        </w:rPr>
      </w:pPr>
    </w:p>
    <w:p w14:paraId="381B1D30" w14:textId="330B69E0" w:rsidR="00C77FEF" w:rsidRPr="00DA29B5" w:rsidRDefault="00C77FEF" w:rsidP="00C77FEF">
      <w:pPr>
        <w:spacing w:line="360" w:lineRule="auto"/>
        <w:jc w:val="center"/>
        <w:rPr>
          <w:b/>
        </w:rPr>
      </w:pPr>
      <w:r w:rsidRPr="00DA29B5">
        <w:rPr>
          <w:b/>
        </w:rPr>
        <w:lastRenderedPageBreak/>
        <w:t>ANEXO II</w:t>
      </w:r>
    </w:p>
    <w:p w14:paraId="033B8393" w14:textId="77777777" w:rsidR="00C77FEF" w:rsidRPr="00DA29B5" w:rsidRDefault="00C77FEF" w:rsidP="00C77FEF">
      <w:pPr>
        <w:spacing w:line="360" w:lineRule="auto"/>
      </w:pPr>
    </w:p>
    <w:p w14:paraId="1D334D4F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6D9F1"/>
        <w:spacing w:line="360" w:lineRule="auto"/>
        <w:jc w:val="center"/>
      </w:pPr>
      <w:r w:rsidRPr="00DA29B5">
        <w:t xml:space="preserve">Atividades e Exigências para a Função de Confiança de </w:t>
      </w:r>
      <w:r>
        <w:rPr>
          <w:b/>
        </w:rPr>
        <w:t>Gestor Autárquico</w:t>
      </w:r>
    </w:p>
    <w:p w14:paraId="54299E4D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>Descrição Sumária das Atividades:</w:t>
      </w:r>
    </w:p>
    <w:p w14:paraId="5BAACF35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Desenvolver atividades de controle </w:t>
      </w:r>
      <w:r>
        <w:t xml:space="preserve">e gestão da gerência </w:t>
      </w:r>
      <w:r w:rsidRPr="00DA29B5">
        <w:t xml:space="preserve">sob seu comando, reportando-se sempre às instruções e políticas definidas pelo Secretário </w:t>
      </w:r>
      <w:r>
        <w:t>Autárquico da área a que estiver vinculado</w:t>
      </w:r>
      <w:r w:rsidRPr="00DA29B5">
        <w:t>, relat</w:t>
      </w:r>
      <w:r>
        <w:t>ivamente aos aspectos de gestão,</w:t>
      </w:r>
      <w:r w:rsidRPr="00DA29B5">
        <w:t xml:space="preserve"> coordenar e </w:t>
      </w:r>
      <w:r>
        <w:t>gerir</w:t>
      </w:r>
      <w:r w:rsidRPr="00DA29B5">
        <w:t xml:space="preserve"> as atividades d</w:t>
      </w:r>
      <w:r>
        <w:t xml:space="preserve">a gerência </w:t>
      </w:r>
      <w:r w:rsidRPr="00DA29B5">
        <w:t xml:space="preserve">da Secretaria </w:t>
      </w:r>
      <w:r>
        <w:t xml:space="preserve">Autárquica </w:t>
      </w:r>
      <w:r w:rsidRPr="00DA29B5">
        <w:t>a qual pertença; planejar estrategicamente as atividades d</w:t>
      </w:r>
      <w:r>
        <w:t>a gerência</w:t>
      </w:r>
      <w:r w:rsidRPr="00DA29B5">
        <w:t xml:space="preserve">, observadas as diretrizes de governo e as exigências técnicas, além de desenvolver projetos, cumprir metas e programas estabelecidos pelos dirigentes e órgãos superiores; propor planos e programas de trabalho voltados às atividades meio e fim; organizar, coordenar e supervisionar os serviços administrativos e funcionais; cumprir ou fazer cumprir as determinações dos dirigentes ou órgãos superiores, nos prazos previstos; alinhar o exercício da </w:t>
      </w:r>
      <w:r>
        <w:t xml:space="preserve">gestão da gerência </w:t>
      </w:r>
      <w:r w:rsidRPr="00DA29B5">
        <w:t xml:space="preserve">às competências fixada legalmente para o </w:t>
      </w:r>
      <w:r>
        <w:t xml:space="preserve">órgão gerencial </w:t>
      </w:r>
      <w:r w:rsidRPr="00DA29B5">
        <w:t>sob sua responsabilidade.</w:t>
      </w:r>
    </w:p>
    <w:p w14:paraId="42DBF8EC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</w:p>
    <w:p w14:paraId="0BE95951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>Descrição das Atividades:</w:t>
      </w:r>
    </w:p>
    <w:p w14:paraId="12143B4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instruir</w:t>
      </w:r>
      <w:proofErr w:type="gramEnd"/>
      <w:r w:rsidRPr="00DA29B5">
        <w:t xml:space="preserve"> seus subordinados de modo que se conscientizem da responsabilidade que possuem, respeitando a legalidade e as balizas de gestão fixadas pela autoridade política, sobretudo no plano de metas fixado em lei; </w:t>
      </w:r>
    </w:p>
    <w:p w14:paraId="2D32541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chefiar, coordenar</w:t>
      </w:r>
      <w:proofErr w:type="gramEnd"/>
      <w:r w:rsidRPr="00DA29B5">
        <w:t xml:space="preserve"> e superintender a organização dos serviços a serem realizados; planejar e fazer executar a programação dos serviços afetos à sua área dentro dos prazos previstos nas normas; orientar seus subordinados na realização dos trabalhos, bem como na sua conduta funcional; prestar assistência e despachar o expediente de sua área diretamente com as autoridades superiores;</w:t>
      </w:r>
    </w:p>
    <w:p w14:paraId="7ED05BD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levar</w:t>
      </w:r>
      <w:proofErr w:type="gramEnd"/>
      <w:r w:rsidRPr="00DA29B5">
        <w:t xml:space="preserve"> ao conhecimento do Secret</w:t>
      </w:r>
      <w:r>
        <w:t>ário Autárquico</w:t>
      </w:r>
      <w:r w:rsidRPr="00DA29B5">
        <w:t xml:space="preserve">, verbalmente ou por escrito, depois de convenientemente apurado, todas as ocorrências que não lhe caiba resolver, bem como todos os documentos que dependam de decisão superior; </w:t>
      </w:r>
    </w:p>
    <w:p w14:paraId="1A5FC8AE" w14:textId="77777777" w:rsidR="00C77FE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- </w:t>
      </w:r>
      <w:proofErr w:type="gramStart"/>
      <w:r>
        <w:t>dar</w:t>
      </w:r>
      <w:proofErr w:type="gramEnd"/>
      <w:r>
        <w:t xml:space="preserve"> conhecimento ao Secretário</w:t>
      </w:r>
      <w:r w:rsidRPr="00DA29B5">
        <w:t xml:space="preserve"> </w:t>
      </w:r>
      <w:r>
        <w:t>Autárquico</w:t>
      </w:r>
      <w:r w:rsidRPr="00DA29B5">
        <w:t xml:space="preserve"> de todas as ocorrências e fatos que tenha re</w:t>
      </w:r>
      <w:r>
        <w:t>alizado por iniciativa própria;</w:t>
      </w:r>
    </w:p>
    <w:p w14:paraId="622EB18D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promover</w:t>
      </w:r>
      <w:proofErr w:type="gramEnd"/>
      <w:r w:rsidRPr="00DA29B5">
        <w:t xml:space="preserve"> reuniões periódicas com os servidores auxiliares, a fim de realizar a gestão dos subordinados, bem como ponderação e mediação para a relação de trabalho, com o foco na resolução de conflitos, aumento da eficiência do fluxo de trabalho e melhoria contínua da equipe; </w:t>
      </w:r>
    </w:p>
    <w:p w14:paraId="345E4B5C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lastRenderedPageBreak/>
        <w:t xml:space="preserve">- </w:t>
      </w:r>
      <w:proofErr w:type="gramStart"/>
      <w:r w:rsidRPr="00DA29B5">
        <w:t>transmitir</w:t>
      </w:r>
      <w:proofErr w:type="gramEnd"/>
      <w:r w:rsidRPr="00DA29B5">
        <w:t xml:space="preserve"> aos subordinados as características da gestão político-administrativa, na lógica do fluxo de trabalho e da hierarquia, atentando-se à legalidade de todos os atos praticados;</w:t>
      </w:r>
    </w:p>
    <w:p w14:paraId="207DD9CC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intermediar</w:t>
      </w:r>
      <w:proofErr w:type="gramEnd"/>
      <w:r w:rsidRPr="00DA29B5">
        <w:t xml:space="preserve"> na expedição de todas as ordens relativas à disciplina, instrução e serviços gerais cuja execução cumpre-lhe fiscalizar; </w:t>
      </w:r>
    </w:p>
    <w:p w14:paraId="171924A1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>
        <w:t>sugerir</w:t>
      </w:r>
      <w:proofErr w:type="gramEnd"/>
      <w:r w:rsidRPr="00DA29B5">
        <w:t xml:space="preserve"> mudanças na distribuição do pessoal, incluindo férias e outras, para o bom desempenho d</w:t>
      </w:r>
      <w:r>
        <w:t xml:space="preserve">a Gerência </w:t>
      </w:r>
      <w:r w:rsidRPr="00DA29B5">
        <w:t xml:space="preserve">em que estiver lotado, observando as diretrizes legais, bem como as orientações da autoridade política; </w:t>
      </w:r>
    </w:p>
    <w:p w14:paraId="3A9EECD6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mediante</w:t>
      </w:r>
      <w:proofErr w:type="gramEnd"/>
      <w:r w:rsidRPr="00DA29B5">
        <w:t xml:space="preserve"> autorização, representar o Secretário </w:t>
      </w:r>
      <w:r>
        <w:t xml:space="preserve">Autárquico </w:t>
      </w:r>
      <w:r w:rsidRPr="00DA29B5">
        <w:t xml:space="preserve">nos compromissos de governo que envolvam </w:t>
      </w:r>
      <w:r>
        <w:t>temas ligados à competência da Gerência</w:t>
      </w:r>
      <w:r w:rsidRPr="00DA29B5">
        <w:t>, assegurando em tais oportunidades o uso dos traços políticos da gestão da autoridade política;</w:t>
      </w:r>
    </w:p>
    <w:p w14:paraId="7DF097FE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cumprir</w:t>
      </w:r>
      <w:proofErr w:type="gramEnd"/>
      <w:r w:rsidRPr="00DA29B5">
        <w:t xml:space="preserve"> e fazer cumprir as normas internas da </w:t>
      </w:r>
      <w:r>
        <w:t>área</w:t>
      </w:r>
      <w:r w:rsidRPr="00DA29B5">
        <w:t xml:space="preserve">, bem como sugerir a edição de novas normas que favoreçam a convergência da legalidade com os princípios democráticos do governo eleito, representado pela autoridade política; </w:t>
      </w:r>
    </w:p>
    <w:p w14:paraId="1203EBB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planejar</w:t>
      </w:r>
      <w:proofErr w:type="gramEnd"/>
      <w:r w:rsidRPr="00DA29B5">
        <w:t>, organizar, dirigir, coordenar e controlar as atividades das áreas que lhe são subordinadas, com atenção ao</w:t>
      </w:r>
      <w:r>
        <w:t>s</w:t>
      </w:r>
      <w:r w:rsidRPr="00DA29B5">
        <w:t xml:space="preserve"> planos e metas d</w:t>
      </w:r>
      <w:r>
        <w:t>a superintendência</w:t>
      </w:r>
      <w:r w:rsidRPr="00DA29B5">
        <w:t>;</w:t>
      </w:r>
    </w:p>
    <w:p w14:paraId="3B7618C1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emitir</w:t>
      </w:r>
      <w:proofErr w:type="gramEnd"/>
      <w:r w:rsidRPr="00DA29B5">
        <w:t xml:space="preserve"> pareceres, proferir despachos interlocutórios e, quando for o caso, despachos decisórios nos processos submetidos a sua apreciação, ainda que assessorado por funcionários públicos técnicos do quadro permanente d</w:t>
      </w:r>
      <w:r>
        <w:t xml:space="preserve">a Autarquia </w:t>
      </w:r>
      <w:r w:rsidRPr="00DA29B5">
        <w:t xml:space="preserve">Municipal; </w:t>
      </w:r>
    </w:p>
    <w:p w14:paraId="3CA07F1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distribuir</w:t>
      </w:r>
      <w:proofErr w:type="gramEnd"/>
      <w:r w:rsidRPr="00DA29B5">
        <w:t xml:space="preserve"> o pessoal em exercício, nos seus respectivos postos de trabalho, obtendo sempre os melhores resultados de seus trabalhos, considerando, para tanto, o respeito a suas habilidades e o interesse d</w:t>
      </w:r>
      <w:r>
        <w:t xml:space="preserve">a Superintendência </w:t>
      </w:r>
      <w:r w:rsidRPr="00DA29B5">
        <w:t>na forma fixada em seu planejamento político para atender ao interesse público</w:t>
      </w:r>
      <w:r>
        <w:t>, em especial na assistência à Água e Esgoto</w:t>
      </w:r>
      <w:r w:rsidRPr="00DA29B5">
        <w:t>;</w:t>
      </w:r>
    </w:p>
    <w:p w14:paraId="7437E95F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autorizar</w:t>
      </w:r>
      <w:proofErr w:type="gramEnd"/>
      <w:r w:rsidRPr="00DA29B5">
        <w:t xml:space="preserve"> a escala de férias dos seus subordinados diretos, e, ainda, propor elogios e aplicações de penas disciplinares quando necessário, cumprindo rigorosamente o princípio da legalidade e demais princípios da Administração Pública;</w:t>
      </w:r>
    </w:p>
    <w:p w14:paraId="2000C9D0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responsabilizar-se</w:t>
      </w:r>
      <w:proofErr w:type="gramEnd"/>
      <w:r w:rsidRPr="00DA29B5">
        <w:t xml:space="preserve"> pelo controle e conservação dos bens patrimoniais alocados em suas unidades administrativas;</w:t>
      </w:r>
    </w:p>
    <w:p w14:paraId="594B0468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propor</w:t>
      </w:r>
      <w:proofErr w:type="gramEnd"/>
      <w:r w:rsidRPr="00DA29B5">
        <w:t xml:space="preserve"> medidas administrativas que considere necessárias ao bom andamento dos trabalhos de sua área, indicando, sempre que possível ao superior hierárquico os ajustes necessários para alavancar os resultados esperados pel</w:t>
      </w:r>
      <w:r>
        <w:t>a Superintendência</w:t>
      </w:r>
      <w:r w:rsidRPr="00DA29B5">
        <w:t>;</w:t>
      </w:r>
    </w:p>
    <w:p w14:paraId="2DF4ED70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prestar</w:t>
      </w:r>
      <w:proofErr w:type="gramEnd"/>
      <w:r w:rsidRPr="00DA29B5">
        <w:t xml:space="preserve"> assessoramento técnico em assuntos gerais relacionados com as ações de sua competência, indispensáveis ao desenvolvimento comum de suas atividades funcionais, </w:t>
      </w:r>
      <w:r w:rsidRPr="00DA29B5">
        <w:lastRenderedPageBreak/>
        <w:t>utilizando, para tanto, quando necessário, de outros técnicos concursados dos quadros permanentes d</w:t>
      </w:r>
      <w:r>
        <w:t>o Município</w:t>
      </w:r>
      <w:r w:rsidRPr="00DA29B5">
        <w:t>;</w:t>
      </w:r>
    </w:p>
    <w:p w14:paraId="2845AB7E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promover</w:t>
      </w:r>
      <w:proofErr w:type="gramEnd"/>
      <w:r w:rsidRPr="00DA29B5">
        <w:t xml:space="preserve"> reuniões periódicas com servidores que lhe são subordinados, tomando conta de suas ações, deliberando novas formas de ação nos assuntos destacados e que mereçam atenção, seguindo instruções técnicas inerentes à atividade, bem como orientações compatíveis advindas d</w:t>
      </w:r>
      <w:r>
        <w:t>a Superintendência</w:t>
      </w:r>
      <w:r w:rsidRPr="00DA29B5">
        <w:t>, respeitando com rigor a legalidade;</w:t>
      </w:r>
    </w:p>
    <w:p w14:paraId="13D0D765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manter</w:t>
      </w:r>
      <w:proofErr w:type="gramEnd"/>
      <w:r w:rsidRPr="00DA29B5">
        <w:t xml:space="preserve"> bom relacionamento interno, respeitoso e cordial com todos os servidores, proporcionando-lhes orientações, ensinamentos e motivando-os para o trabalho eficiente e produtivo;</w:t>
      </w:r>
    </w:p>
    <w:p w14:paraId="4DE3F04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acompanhar</w:t>
      </w:r>
      <w:proofErr w:type="gramEnd"/>
      <w:r w:rsidRPr="00DA29B5">
        <w:t xml:space="preserve">, pessoalmente, ocorrências de ordem policial ou administrativa que envolvam servidores da </w:t>
      </w:r>
      <w:r>
        <w:t>Autarquia Municipal</w:t>
      </w:r>
      <w:r w:rsidRPr="00DA29B5">
        <w:t xml:space="preserve">, com a devida autorização do Secretário </w:t>
      </w:r>
      <w:r>
        <w:t>Autárquico</w:t>
      </w:r>
      <w:r w:rsidRPr="00DA29B5">
        <w:t>;</w:t>
      </w:r>
    </w:p>
    <w:p w14:paraId="3C8551D8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coordenar</w:t>
      </w:r>
      <w:proofErr w:type="gramEnd"/>
      <w:r w:rsidRPr="00DA29B5">
        <w:t xml:space="preserve"> o atendimento ao público interno e externo, zelando pela impressão</w:t>
      </w:r>
      <w:r>
        <w:t>,</w:t>
      </w:r>
      <w:r w:rsidRPr="00DA29B5">
        <w:t xml:space="preserve"> em tais oportunidades</w:t>
      </w:r>
      <w:r>
        <w:t>,</w:t>
      </w:r>
      <w:r w:rsidRPr="00DA29B5">
        <w:t xml:space="preserve"> das características da gestão pública proposta pelo Executivo Municipal, de acordo com a legalidade; </w:t>
      </w:r>
    </w:p>
    <w:p w14:paraId="61A1AFF2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solicitar</w:t>
      </w:r>
      <w:proofErr w:type="gramEnd"/>
      <w:r w:rsidRPr="00DA29B5">
        <w:t xml:space="preserve"> a compra de materiais e equipamentos, observando a necessidade, a legalidade, o princípio da economicidade e a gestão eficiente das coisas;</w:t>
      </w:r>
    </w:p>
    <w:p w14:paraId="12E7C703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executar</w:t>
      </w:r>
      <w:proofErr w:type="gramEnd"/>
      <w:r w:rsidRPr="00DA29B5">
        <w:t xml:space="preserve"> outras tarefas e competências correlatas que forem atribuídas pelo chefe hierárquico, alinhando os atos de gestão ao cumprimento da lei e às premissas de eficiência indicadas nas metas fixadas pela autoridade superior;</w:t>
      </w:r>
    </w:p>
    <w:p w14:paraId="60CA6760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</w:t>
      </w:r>
      <w:proofErr w:type="gramStart"/>
      <w:r w:rsidRPr="00DA29B5">
        <w:t>observar</w:t>
      </w:r>
      <w:proofErr w:type="gramEnd"/>
      <w:r w:rsidRPr="00DA29B5">
        <w:t xml:space="preserve"> rigorosamente as competências legais definidas na Lei de Organização Administrativa dos </w:t>
      </w:r>
      <w:r>
        <w:t>Órgãos da Autarquia Municipal</w:t>
      </w:r>
      <w:r w:rsidRPr="00DA29B5">
        <w:t>, cumprindo e fazendo cumprir todas previsões relativas às especialidades d</w:t>
      </w:r>
      <w:r>
        <w:t xml:space="preserve">a gerência em </w:t>
      </w:r>
      <w:r w:rsidRPr="00DA29B5">
        <w:t xml:space="preserve">que exerce a função de </w:t>
      </w:r>
      <w:r>
        <w:t>gestor</w:t>
      </w:r>
      <w:r w:rsidRPr="00DA29B5">
        <w:t>;</w:t>
      </w:r>
    </w:p>
    <w:p w14:paraId="4FECAAEF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- Observar o organograma da estrutura administrativa hierárquica da </w:t>
      </w:r>
      <w:r>
        <w:t>Autarquia Municipal</w:t>
      </w:r>
      <w:r w:rsidRPr="00DA29B5">
        <w:t xml:space="preserve">, conforme definida em Lei especifica.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668397" w14:textId="77777777" w:rsidR="00C77FE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 xml:space="preserve">Exigências: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D31FDC" w14:textId="77777777" w:rsidR="00C77FE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DA29B5">
        <w:t>- Escolaridade: Ensino Superior Completo</w:t>
      </w:r>
      <w:r>
        <w:t>, ou nível técnico de formação, com experiência na área.</w:t>
      </w:r>
      <w:r w:rsidRPr="00DA29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Obrigatoriamente ser servidor público efetivo do quadro </w:t>
      </w:r>
      <w:r>
        <w:t>efetivo do Município</w:t>
      </w:r>
      <w:r w:rsidRPr="00DA29B5">
        <w:t>, preferencialmente de carreira ligada à unidad</w:t>
      </w:r>
      <w:r>
        <w:t>e administrativa correspondente.</w:t>
      </w:r>
    </w:p>
    <w:p w14:paraId="2679F2E5" w14:textId="6B2BFBC5" w:rsidR="00C77FE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</w:p>
    <w:p w14:paraId="11669E85" w14:textId="28DC01CD" w:rsidR="00C77FE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</w:p>
    <w:p w14:paraId="1B3DD2C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</w:p>
    <w:p w14:paraId="2F6808F8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AEEF3"/>
        <w:spacing w:line="360" w:lineRule="auto"/>
        <w:jc w:val="both"/>
      </w:pPr>
      <w:r w:rsidRPr="0000056F">
        <w:lastRenderedPageBreak/>
        <w:t xml:space="preserve">Atividades e Exigências para a Função de Confiança de OUVIDOR </w:t>
      </w:r>
      <w:r>
        <w:t xml:space="preserve">AUTÁRQUICO </w:t>
      </w:r>
      <w:r w:rsidRPr="0000056F">
        <w:t>D</w:t>
      </w:r>
      <w:r>
        <w:t>O SAMAE</w:t>
      </w:r>
      <w:r w:rsidRPr="0000056F">
        <w:t xml:space="preserve"> </w:t>
      </w:r>
    </w:p>
    <w:p w14:paraId="452CDA66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>Descrição Sumária das Atividades:</w:t>
      </w:r>
    </w:p>
    <w:p w14:paraId="64C35FC2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 xml:space="preserve">Estabelecer um canal de comunicação direta entre os cidadãos usuários </w:t>
      </w:r>
      <w:r>
        <w:t>do SAMAE</w:t>
      </w:r>
      <w:r w:rsidRPr="0000056F">
        <w:t xml:space="preserve"> e servidores públicos com </w:t>
      </w:r>
      <w:r>
        <w:t>a Autarquia M</w:t>
      </w:r>
      <w:r w:rsidRPr="0000056F">
        <w:t>unicipal, a fim de receber e processar as suas manifestações (reclamações, sugestões e elogios), referentes aos serviços prestados, interpretá-las e buscar soluções, encaminhando-as às áreas competentes.</w:t>
      </w:r>
    </w:p>
    <w:p w14:paraId="363D741D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</w:p>
    <w:p w14:paraId="6E9C3FD1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>Descrição das Atividades:</w:t>
      </w:r>
    </w:p>
    <w:p w14:paraId="7B493978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>- Verificar a pertinência e a procedência das ocorrências, provendo a real apuração dos fatos, encaminhando aos setores competentes para as providências cabíveis ao caso;</w:t>
      </w:r>
    </w:p>
    <w:p w14:paraId="432EBD3C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>- Zelar pelos valores: ética, justiça, integridade, respeito e transparência;</w:t>
      </w:r>
    </w:p>
    <w:p w14:paraId="731E7E63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 xml:space="preserve">- Identificar e avaliar o grau de satisfação em relação aos serviços de </w:t>
      </w:r>
      <w:r>
        <w:t>água e esgoto</w:t>
      </w:r>
      <w:r w:rsidRPr="0000056F">
        <w:t>, orientando correções;</w:t>
      </w:r>
    </w:p>
    <w:p w14:paraId="73E382C3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>- Realizar a mediação de situações emergenciais atenuando conflitos;</w:t>
      </w:r>
    </w:p>
    <w:p w14:paraId="7A1C7B22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 xml:space="preserve">- Emitir relatórios gerenciais para subsidiar o controle social e a melhoria na gestão dos serviços </w:t>
      </w:r>
      <w:r>
        <w:t>da Autarquia Municipal</w:t>
      </w:r>
      <w:r w:rsidRPr="0000056F">
        <w:t>;</w:t>
      </w:r>
    </w:p>
    <w:p w14:paraId="31ACB0C7" w14:textId="77777777" w:rsidR="00C77FEF" w:rsidRPr="0000056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>Exigências: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Escolaridade: Ensino Superior Completo.</w:t>
      </w:r>
    </w:p>
    <w:p w14:paraId="49068BA6" w14:textId="77777777" w:rsidR="00C77FEF" w:rsidRDefault="00C77FEF" w:rsidP="00C77FE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 w:rsidRPr="0000056F">
        <w:t xml:space="preserve">- Obrigatoriamente ser servidor público do quadro </w:t>
      </w:r>
      <w:r>
        <w:t>efetivo do Município</w:t>
      </w:r>
      <w:r w:rsidRPr="0000056F">
        <w:t>.</w:t>
      </w:r>
    </w:p>
    <w:p w14:paraId="1B28327A" w14:textId="77777777" w:rsidR="00C77FEF" w:rsidRDefault="00C77FEF" w:rsidP="00C77FEF">
      <w:r>
        <w:br w:type="page"/>
      </w:r>
    </w:p>
    <w:p w14:paraId="70253D9F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360" w:lineRule="auto"/>
        <w:jc w:val="both"/>
      </w:pPr>
      <w:r w:rsidRPr="00AE0391">
        <w:lastRenderedPageBreak/>
        <w:t xml:space="preserve">Atividades e Exigências para a Função de Confiança de CONTROLADOR </w:t>
      </w:r>
      <w:r>
        <w:t>INTERNO AUTÁRQUICO</w:t>
      </w:r>
    </w:p>
    <w:p w14:paraId="5FB9EBA7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Descrição Sumária das Atividades:</w:t>
      </w:r>
    </w:p>
    <w:p w14:paraId="7A925F46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 xml:space="preserve">Garantir o controle </w:t>
      </w:r>
      <w:r>
        <w:t>interno da Autarquia M</w:t>
      </w:r>
      <w:r w:rsidRPr="00AE0391">
        <w:t xml:space="preserve">unicipal </w:t>
      </w:r>
      <w:r>
        <w:t xml:space="preserve">de Água e Esgoto, </w:t>
      </w:r>
      <w:r w:rsidRPr="00AE0391">
        <w:t>através das informações e atividades exercidas pela contabilidade geral, Informações Legais e Gerenciais, de Normas Técnicas e Orientação, de Gestão Financeira e de Despesa Pública.</w:t>
      </w:r>
    </w:p>
    <w:p w14:paraId="5C5DF910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C28C5BD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Descrição das Atividades:</w:t>
      </w:r>
    </w:p>
    <w:p w14:paraId="63369EDA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Elaborar, assinar e proceder instruções normativas específicas de controle, de observância n</w:t>
      </w:r>
      <w:r>
        <w:t>a Autarquia Municipal</w:t>
      </w:r>
      <w:r w:rsidRPr="00AE0391">
        <w:t>, com a finalidade de orientar e estabelecer a padronização sobre a forma de controle interno;</w:t>
      </w:r>
    </w:p>
    <w:p w14:paraId="4178FE11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Estabelecer ações conjuntas com unidades das áreas técnicas da A</w:t>
      </w:r>
      <w:r>
        <w:t>utarquia Municipal</w:t>
      </w:r>
      <w:r w:rsidRPr="00AE0391">
        <w:t>;</w:t>
      </w:r>
    </w:p>
    <w:p w14:paraId="59B7A917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Receber, distribuir, responder e prestar informações relativas ao Controle Interno d</w:t>
      </w:r>
      <w:r>
        <w:t>a Autarquia Municipal</w:t>
      </w:r>
      <w:r w:rsidRPr="00AE0391">
        <w:t>;</w:t>
      </w:r>
    </w:p>
    <w:p w14:paraId="75DECC2A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Desenvolver ações de gerenciamento, de forma a propor ações e projetos para a formação dos servidores e melhoria dos processos de controle interno, na perspectiva de um desempenho funcional de melhor qualidade;</w:t>
      </w:r>
    </w:p>
    <w:p w14:paraId="7F4B6E46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Prestar informações sobre matéria pertinente ao controle interno;</w:t>
      </w:r>
    </w:p>
    <w:p w14:paraId="0BD27FEC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 xml:space="preserve">Apoiar o </w:t>
      </w:r>
      <w:r>
        <w:t>Superintendente</w:t>
      </w:r>
      <w:r w:rsidRPr="00AE0391">
        <w:t xml:space="preserve">, suas Assessorias e </w:t>
      </w:r>
      <w:r>
        <w:t xml:space="preserve">Secretarias, bem como </w:t>
      </w:r>
      <w:r w:rsidRPr="00AE0391">
        <w:t>instâncias colegiadas nas decisões relativas à gestão das reservas orçamentárias;</w:t>
      </w:r>
    </w:p>
    <w:p w14:paraId="25824A64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Receber e atender as solicitações de auditorias internas e as efetuadas pelos órgãos de controle externos;</w:t>
      </w:r>
    </w:p>
    <w:p w14:paraId="126CA703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Assinar a documentação do Controle Interno, exigido pelo Tribunal de Contas do Estado de São Paulo;</w:t>
      </w:r>
    </w:p>
    <w:p w14:paraId="6D4FD8E8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Assinar os pareceres e relatórios exigidos pela Lei de Responsabilidade Fiscal e pelo Tribunal de Contas, na condição de responsável pelo controle interno;</w:t>
      </w:r>
    </w:p>
    <w:p w14:paraId="2B412CAD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Apresentar relatórios de resultado contendo indicadores de desempenho;</w:t>
      </w:r>
    </w:p>
    <w:p w14:paraId="7E5BAE01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-</w:t>
      </w:r>
      <w:r w:rsidRPr="00AE0391">
        <w:tab/>
        <w:t>Executar outras tarefas correlatas, conforme competência do órgão.</w:t>
      </w:r>
    </w:p>
    <w:p w14:paraId="1E2F4F4E" w14:textId="77777777" w:rsidR="00C77FEF" w:rsidRPr="00AE0391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>Exigências: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Escolaridade: Ensino Superior Completo.</w:t>
      </w:r>
    </w:p>
    <w:p w14:paraId="18022F64" w14:textId="77777777" w:rsidR="00C77FEF" w:rsidRPr="00DA29B5" w:rsidRDefault="00C77FEF" w:rsidP="00C7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0391">
        <w:t xml:space="preserve">- Obrigatoriamente ser servidor público do quadro </w:t>
      </w:r>
      <w:r>
        <w:t>efetivo do Município</w:t>
      </w:r>
      <w:r w:rsidRPr="00AE0391">
        <w:t>.</w:t>
      </w:r>
    </w:p>
    <w:p w14:paraId="26E0D0D1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p w14:paraId="19B7B254" w14:textId="77777777" w:rsidR="00C77FEF" w:rsidRDefault="00C77FEF" w:rsidP="00C77FEF">
      <w:pPr>
        <w:ind w:right="142"/>
        <w:jc w:val="center"/>
        <w:rPr>
          <w:rFonts w:ascii="Bookman Old Style" w:hAnsi="Bookman Old Style"/>
          <w:b/>
          <w:color w:val="000000"/>
          <w:u w:val="single"/>
        </w:rPr>
      </w:pPr>
    </w:p>
    <w:sectPr w:rsidR="00C77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EF"/>
    <w:rsid w:val="00C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664"/>
  <w15:chartTrackingRefBased/>
  <w15:docId w15:val="{7A322ABF-392A-46C5-B106-E69FDE8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11504</Characters>
  <Application>Microsoft Office Word</Application>
  <DocSecurity>0</DocSecurity>
  <Lines>95</Lines>
  <Paragraphs>27</Paragraphs>
  <ScaleCrop>false</ScaleCrop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Campos</dc:creator>
  <cp:keywords/>
  <dc:description/>
  <cp:lastModifiedBy>Camila Campos</cp:lastModifiedBy>
  <cp:revision>1</cp:revision>
  <dcterms:created xsi:type="dcterms:W3CDTF">2021-12-22T17:34:00Z</dcterms:created>
  <dcterms:modified xsi:type="dcterms:W3CDTF">2021-12-22T17:35:00Z</dcterms:modified>
</cp:coreProperties>
</file>